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237023">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w:t>
      </w:r>
      <w:r w:rsidR="003D6EF2">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月</w:t>
      </w:r>
      <w:r w:rsidR="003D6EF2">
        <w:rPr>
          <w:rFonts w:ascii="ＭＳ 明朝" w:eastAsia="ＭＳ 明朝" w:hAnsi="ＭＳ 明朝" w:cs="Times New Roman" w:hint="eastAsia"/>
          <w:color w:val="000000" w:themeColor="text1"/>
          <w:sz w:val="22"/>
        </w:rPr>
        <w:t>26</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9A2750" w:rsidRPr="003C6008">
        <w:rPr>
          <w:rFonts w:ascii="ＭＳ 明朝" w:eastAsia="ＭＳ 明朝" w:hAnsi="ＭＳ 明朝" w:cs="Times New Roman"/>
          <w:noProof/>
          <w:color w:val="000000" w:themeColor="text1"/>
          <w:sz w:val="22"/>
        </w:rPr>
        <w:t>H29市単　ばらき台第一公園（フェンス）長寿命化実施工事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9A2750" w:rsidRPr="003C6008">
              <w:rPr>
                <w:rFonts w:ascii="ＭＳ 明朝" w:eastAsia="ＭＳ 明朝" w:hAnsi="ＭＳ 明朝" w:cs="Times New Roman"/>
                <w:noProof/>
                <w:color w:val="000000" w:themeColor="text1"/>
                <w:sz w:val="22"/>
              </w:rPr>
              <w:t>H29市単　ばらき台第一公園（フェンス）長寿命化実施工事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237023">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44F4E"/>
    <w:rsid w:val="00157868"/>
    <w:rsid w:val="001C3A7C"/>
    <w:rsid w:val="001E1E03"/>
    <w:rsid w:val="00237023"/>
    <w:rsid w:val="003D6EF2"/>
    <w:rsid w:val="003F5531"/>
    <w:rsid w:val="00494921"/>
    <w:rsid w:val="00503E29"/>
    <w:rsid w:val="005C120E"/>
    <w:rsid w:val="00616D3B"/>
    <w:rsid w:val="00622BA5"/>
    <w:rsid w:val="00715694"/>
    <w:rsid w:val="007630A1"/>
    <w:rsid w:val="008C48C9"/>
    <w:rsid w:val="009A2750"/>
    <w:rsid w:val="00A843E5"/>
    <w:rsid w:val="00B46E8C"/>
    <w:rsid w:val="00BE36BC"/>
    <w:rsid w:val="00C84E45"/>
    <w:rsid w:val="00CD5CAC"/>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B93B-F3E3-4823-B680-877D1B7C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2017-12-26T02:15:00Z</dcterms:created>
  <dcterms:modified xsi:type="dcterms:W3CDTF">2017-12-26T02:21:00Z</dcterms:modified>
</cp:coreProperties>
</file>