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8"/>
        </w:rPr>
        <w:t>くじによる落札者の順位の決定方法</w:t>
      </w:r>
    </w:p>
    <w:p>
      <w:pPr>
        <w:pStyle w:val="0"/>
        <w:ind w:firstLine="180" w:firstLineChars="100"/>
        <w:jc w:val="left"/>
        <w:rPr>
          <w:rFonts w:hint="default"/>
          <w:sz w:val="18"/>
        </w:rPr>
      </w:pPr>
      <w:r>
        <w:rPr>
          <w:rFonts w:hint="eastAsia"/>
          <w:sz w:val="18"/>
        </w:rPr>
        <w:t>見積り合わせの結果、落札となるべき同価の入札が２者以上の場合は、次の方法により、くじで落札者を決定します。</w:t>
      </w:r>
    </w:p>
    <w:p>
      <w:pPr>
        <w:pStyle w:val="0"/>
        <w:jc w:val="left"/>
        <w:rPr>
          <w:rFonts w:hint="default"/>
          <w:sz w:val="18"/>
        </w:rPr>
      </w:pPr>
    </w:p>
    <w:p>
      <w:pPr>
        <w:pStyle w:val="0"/>
        <w:jc w:val="left"/>
        <w:rPr>
          <w:rFonts w:hint="default"/>
          <w:b w:val="1"/>
          <w:sz w:val="18"/>
        </w:rPr>
      </w:pPr>
      <w:r>
        <w:rPr>
          <w:rFonts w:hint="eastAsia"/>
          <w:b w:val="1"/>
          <w:sz w:val="18"/>
        </w:rPr>
        <w:t>〇郵便による方法の場合</w:t>
      </w:r>
    </w:p>
    <w:p>
      <w:pPr>
        <w:pStyle w:val="0"/>
        <w:ind w:left="360" w:hanging="360" w:hangingChars="200"/>
        <w:jc w:val="left"/>
        <w:rPr>
          <w:rFonts w:hint="default"/>
          <w:sz w:val="18"/>
        </w:rPr>
      </w:pPr>
      <w:r>
        <w:rPr>
          <w:rFonts w:hint="eastAsia"/>
          <w:sz w:val="18"/>
        </w:rPr>
        <w:t>（１）書留番号（</w:t>
      </w:r>
      <w:r>
        <w:rPr>
          <w:rFonts w:hint="eastAsia"/>
          <w:sz w:val="18"/>
        </w:rPr>
        <w:t>11</w:t>
      </w:r>
      <w:r>
        <w:rPr>
          <w:rFonts w:hint="eastAsia"/>
          <w:sz w:val="18"/>
        </w:rPr>
        <w:t>桁）の下４桁の小さいものから順にくじ番号（</w:t>
      </w:r>
      <w:r>
        <w:rPr>
          <w:rFonts w:hint="eastAsia"/>
          <w:sz w:val="18"/>
        </w:rPr>
        <w:t>0</w:t>
      </w:r>
      <w:r>
        <w:rPr>
          <w:rFonts w:hint="eastAsia"/>
          <w:sz w:val="18"/>
        </w:rPr>
        <w:t>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・・・）を付与します。　</w:t>
      </w:r>
    </w:p>
    <w:p>
      <w:pPr>
        <w:pStyle w:val="0"/>
        <w:ind w:left="420" w:leftChars="200"/>
        <w:jc w:val="left"/>
        <w:rPr>
          <w:rFonts w:hint="default"/>
          <w:sz w:val="18"/>
        </w:rPr>
      </w:pPr>
      <w:r>
        <w:rPr>
          <w:rFonts w:hint="eastAsia"/>
          <w:sz w:val="18"/>
        </w:rPr>
        <w:t>※書留番号は郵便追跡用に使用する番号で、＊＊＊（３桁）</w:t>
      </w:r>
      <w:r>
        <w:rPr>
          <w:rFonts w:hint="eastAsia"/>
          <w:sz w:val="18"/>
        </w:rPr>
        <w:t>-</w:t>
      </w:r>
      <w:r>
        <w:rPr>
          <w:rFonts w:hint="eastAsia"/>
          <w:sz w:val="18"/>
        </w:rPr>
        <w:t>＊＊（２桁）</w:t>
      </w:r>
      <w:r>
        <w:rPr>
          <w:rFonts w:hint="eastAsia"/>
          <w:sz w:val="18"/>
        </w:rPr>
        <w:t>-</w:t>
      </w:r>
      <w:r>
        <w:rPr>
          <w:rFonts w:hint="eastAsia"/>
          <w:sz w:val="18"/>
        </w:rPr>
        <w:t>＊＊＊＊＊（５桁）</w:t>
      </w:r>
      <w:r>
        <w:rPr>
          <w:rFonts w:hint="eastAsia"/>
          <w:sz w:val="18"/>
        </w:rPr>
        <w:t>-</w:t>
      </w:r>
      <w:r>
        <w:rPr>
          <w:rFonts w:hint="eastAsia"/>
          <w:sz w:val="18"/>
        </w:rPr>
        <w:t>＊（１桁）の合計</w:t>
      </w:r>
      <w:r>
        <w:rPr>
          <w:rFonts w:hint="eastAsia"/>
          <w:sz w:val="18"/>
        </w:rPr>
        <w:t>11</w:t>
      </w:r>
      <w:r>
        <w:rPr>
          <w:rFonts w:hint="eastAsia"/>
          <w:sz w:val="18"/>
        </w:rPr>
        <w:t>桁で表示された番号です。</w:t>
      </w:r>
    </w:p>
    <w:p>
      <w:pPr>
        <w:pStyle w:val="0"/>
        <w:ind w:left="360" w:hanging="360" w:hangingChars="200"/>
        <w:jc w:val="left"/>
        <w:rPr>
          <w:rFonts w:hint="default"/>
          <w:sz w:val="18"/>
        </w:rPr>
      </w:pPr>
      <w:r>
        <w:rPr>
          <w:rFonts w:hint="eastAsia"/>
          <w:sz w:val="18"/>
        </w:rPr>
        <w:t>（２）同額入札の書留番号の下４桁を合計し、その合計額を同額入札者数の数で除算し、余りを算出します。</w:t>
      </w:r>
    </w:p>
    <w:p>
      <w:pPr>
        <w:pStyle w:val="0"/>
        <w:ind w:left="360" w:hanging="360" w:hangingChars="200"/>
        <w:jc w:val="left"/>
        <w:rPr>
          <w:rFonts w:hint="default"/>
          <w:sz w:val="18"/>
        </w:rPr>
      </w:pPr>
      <w:r>
        <w:rPr>
          <w:rFonts w:hint="eastAsia"/>
          <w:sz w:val="18"/>
        </w:rPr>
        <w:t>　　　ただし，下４桁の合計の数が複数者いた場合は，全者とも上位の数字を参照するものとする。（４桁で複数いた場合は５桁で取り扱い、５桁でも複数いた場合は６桁で取り扱う、以後同様とする）</w:t>
      </w:r>
    </w:p>
    <w:p>
      <w:pPr>
        <w:pStyle w:val="0"/>
        <w:ind w:left="360" w:hanging="360" w:hangingChars="200"/>
        <w:jc w:val="left"/>
        <w:rPr>
          <w:rFonts w:hint="default"/>
          <w:sz w:val="18"/>
        </w:rPr>
      </w:pPr>
      <w:r>
        <w:rPr>
          <w:rFonts w:hint="eastAsia"/>
          <w:sz w:val="18"/>
        </w:rPr>
        <w:t>（３）上記（２）の計算結果による余りと一致した上記（１）のくじ番号の入札参加者を落札者の第１順位とする。</w:t>
      </w:r>
    </w:p>
    <w:p>
      <w:pPr>
        <w:pStyle w:val="0"/>
        <w:ind w:left="360" w:hanging="360" w:hangingChars="200"/>
        <w:jc w:val="left"/>
        <w:rPr>
          <w:rFonts w:hint="default"/>
          <w:sz w:val="18"/>
        </w:rPr>
      </w:pPr>
      <w:r>
        <w:rPr>
          <w:rFonts w:hint="eastAsia"/>
          <w:sz w:val="18"/>
        </w:rPr>
        <w:t>（４）最上位のくじ番号に「１」を足したくじ番号の入札参加者を第２順位とする。</w:t>
      </w:r>
    </w:p>
    <w:p>
      <w:pPr>
        <w:pStyle w:val="0"/>
        <w:ind w:left="360" w:hanging="360" w:hangingChars="200"/>
        <w:jc w:val="left"/>
        <w:rPr>
          <w:rFonts w:hint="default"/>
          <w:sz w:val="18"/>
        </w:rPr>
      </w:pPr>
      <w:r>
        <w:rPr>
          <w:rFonts w:hint="eastAsia"/>
          <w:sz w:val="18"/>
        </w:rPr>
        <w:t>　　　この場合において、最上位のくじ番号に「１」を足したくじ番号が存在しない場合には、「０」のくじ番号の入札参加者を第２順位とする。</w:t>
      </w:r>
    </w:p>
    <w:p>
      <w:pPr>
        <w:pStyle w:val="0"/>
        <w:jc w:val="left"/>
        <w:rPr>
          <w:rFonts w:hint="default"/>
          <w:sz w:val="18"/>
        </w:rPr>
      </w:pPr>
      <w:r>
        <w:rPr>
          <w:rFonts w:hint="eastAsia"/>
          <w:sz w:val="18"/>
        </w:rPr>
        <w:t>（５）第３順位以下は（４）の規定により順位を決定する。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88265</wp:posOffset>
                </wp:positionV>
                <wp:extent cx="5838825" cy="46291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838825" cy="462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6;mso-wrap-distance-left:9pt;width:459.75pt;height:364.5pt;mso-position-horizontal-relative:margin;position:absolute;margin-left:-15pt;margin-top:6.95pt;mso-wrap-distance-bottom:0pt;mso-wrap-distance-right:9pt;mso-wrap-distance-top:0pt;" o:spid="_x0000_s1026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3609975" cy="27622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36099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（例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>
                              <w:rPr>
                                <w:rFonts w:hint="default"/>
                              </w:rPr>
                              <w:t>参加者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default"/>
                              </w:rPr>
                              <w:t>者が同額</w:t>
                            </w:r>
                            <w:r>
                              <w:rPr>
                                <w:rFonts w:hint="eastAsia"/>
                              </w:rPr>
                              <w:t>入札の</w:t>
                            </w:r>
                            <w:r>
                              <w:rPr>
                                <w:rFonts w:hint="default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84.25pt;height:21.75pt;mso-position-horizontal-relative:margin;position:absolute;mso-position-horizontal:left;margin-top:12.15pt;mso-wrap-distance-bottom:0pt;mso-wrap-distance-right:9pt;mso-wrap-distance-top:0pt;v-text-anchor:top;" o:spid="_x0000_s1027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（例</w:t>
                      </w:r>
                      <w:r>
                        <w:rPr>
                          <w:rFonts w:hint="default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入札</w:t>
                      </w:r>
                      <w:r>
                        <w:rPr>
                          <w:rFonts w:hint="default"/>
                        </w:rPr>
                        <w:t>参加者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default"/>
                        </w:rPr>
                        <w:t>者が同額</w:t>
                      </w:r>
                      <w:r>
                        <w:rPr>
                          <w:rFonts w:hint="eastAsia"/>
                        </w:rPr>
                        <w:t>入札の</w:t>
                      </w:r>
                      <w:r>
                        <w:rPr>
                          <w:rFonts w:hint="default"/>
                        </w:rPr>
                        <w:t>場合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（１）書留番号（</w:t>
      </w:r>
      <w:r>
        <w:rPr>
          <w:rFonts w:hint="eastAsia"/>
        </w:rPr>
        <w:t>11</w:t>
      </w:r>
      <w:r>
        <w:rPr>
          <w:rFonts w:hint="eastAsia"/>
        </w:rPr>
        <w:t>桁）の下４桁の小さい順にくじ番号（</w:t>
      </w:r>
      <w:r>
        <w:rPr>
          <w:rFonts w:hint="eastAsia"/>
        </w:rPr>
        <w:t>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・・・）を付与する。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（※下４桁が同一の数字となった場合は、上位の数字を参照する。）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3365500" cy="790575"/>
            <wp:effectExtent l="0" t="0" r="0" b="0"/>
            <wp:docPr id="102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211455</wp:posOffset>
                </wp:positionV>
                <wp:extent cx="381000" cy="676275"/>
                <wp:effectExtent l="635" t="635" r="31750" b="10795"/>
                <wp:wrapNone/>
                <wp:docPr id="1029" name="右中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右中かっこ 3"/>
                      <wps:cNvSpPr/>
                      <wps:spPr>
                        <a:xfrm>
                          <a:off x="0" y="0"/>
                          <a:ext cx="381000" cy="676275"/>
                        </a:xfrm>
                        <a:prstGeom prst="rightBrace">
                          <a:avLst>
                            <a:gd name="adj1" fmla="val 8333"/>
                            <a:gd name="adj2" fmla="val 51409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style="mso-position-vertical-relative:text;z-index:3;mso-wrap-distance-left:9pt;width:30pt;height:53.25pt;mso-position-horizontal-relative:text;position:absolute;margin-left:151.94pt;margin-top:16.64pt;mso-wrap-distance-bottom:0pt;mso-wrap-distance-right:9pt;mso-wrap-distance-top:0pt;" o:spid="_x0000_s1029" o:allowincell="t" o:allowoverlap="t" filled="f" stroked="t" strokecolor="#5b9bd5" strokeweight="0.5pt" o:spt="88" type="#_x0000_t88" adj="1800,11104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（２）書留番号下４桁の和を求め、同額入札者数で除算し、余りを算出する。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A</w:t>
      </w:r>
      <w:r>
        <w:rPr>
          <w:rFonts w:hint="eastAsia"/>
        </w:rPr>
        <w:t>社（書留番号下４桁）　</w:t>
      </w:r>
      <w:r>
        <w:rPr>
          <w:rFonts w:hint="eastAsia"/>
        </w:rPr>
        <w:t>2345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B</w:t>
      </w:r>
      <w:r>
        <w:rPr>
          <w:rFonts w:hint="eastAsia"/>
        </w:rPr>
        <w:t>社（書留番号下４桁）　</w:t>
      </w:r>
      <w:r>
        <w:rPr>
          <w:rFonts w:hint="eastAsia"/>
        </w:rPr>
        <w:t>9702</w:t>
      </w:r>
      <w:r>
        <w:rPr>
          <w:rFonts w:hint="eastAsia"/>
        </w:rPr>
        <w:t>　　　　　合計</w:t>
      </w:r>
      <w:r>
        <w:rPr>
          <w:rFonts w:hint="eastAsia"/>
        </w:rPr>
        <w:t xml:space="preserve"> 2345+9702+8136</w:t>
      </w:r>
      <w:r>
        <w:rPr>
          <w:rFonts w:hint="eastAsia"/>
        </w:rPr>
        <w:t>＝</w:t>
      </w:r>
      <w:r>
        <w:rPr>
          <w:rFonts w:hint="eastAsia"/>
        </w:rPr>
        <w:t>20183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230505</wp:posOffset>
                </wp:positionV>
                <wp:extent cx="666750" cy="266700"/>
                <wp:effectExtent l="19685" t="19685" r="29845" b="20320"/>
                <wp:wrapNone/>
                <wp:docPr id="1030" name="楕円 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楕円 8"/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8" style="mso-position-vertical-relative:text;z-index:5;mso-wrap-distance-left:9pt;width:52.5pt;height:21pt;mso-position-horizontal-relative:text;position:absolute;margin-left:356.7pt;margin-top:18.14pt;mso-wrap-distance-bottom:0pt;mso-wrap-distance-right:9pt;mso-wrap-distance-top:0pt;" o:spid="_x0000_s1030" o:allowincell="t" o:allowoverlap="t" filled="f" stroked="t" strokecolor="#ff0000" strokeweight="3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C</w:t>
      </w:r>
      <w:r>
        <w:rPr>
          <w:rFonts w:hint="eastAsia"/>
        </w:rPr>
        <w:t>社（書留番号下４桁）　</w:t>
      </w:r>
      <w:r>
        <w:rPr>
          <w:rFonts w:hint="eastAsia"/>
        </w:rPr>
        <w:t>8136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w:t>　　　　　　　　　　　　　　　　　　　余り　</w:t>
      </w:r>
      <w:r>
        <w:rPr>
          <w:rFonts w:hint="eastAsia"/>
        </w:rPr>
        <w:t xml:space="preserve">20183 </w:t>
      </w:r>
      <w:r>
        <w:rPr>
          <w:rFonts w:hint="eastAsia"/>
        </w:rPr>
        <w:t>÷</w:t>
      </w:r>
      <w:r>
        <w:rPr>
          <w:rFonts w:hint="eastAsia"/>
        </w:rPr>
        <w:t xml:space="preserve"> </w:t>
      </w:r>
      <w:r>
        <w:rPr>
          <w:rFonts w:hint="default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6727</w:t>
      </w:r>
      <w:r>
        <w:rPr>
          <w:rFonts w:hint="eastAsia"/>
        </w:rPr>
        <w:t>・・・余り２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（３）順位の決定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192405</wp:posOffset>
                </wp:positionV>
                <wp:extent cx="323850" cy="266700"/>
                <wp:effectExtent l="19685" t="19685" r="29845" b="20320"/>
                <wp:wrapNone/>
                <wp:docPr id="1031" name="楕円 1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楕円 13"/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3" style="mso-position-vertical-relative:text;z-index:4;mso-wrap-distance-left:9pt;width:25.5pt;height:21pt;mso-position-horizontal-relative:text;position:absolute;margin-left:55.95pt;margin-top:15.15pt;mso-wrap-distance-bottom:0pt;mso-wrap-distance-right:9pt;mso-wrap-distance-top:0pt;" o:spid="_x0000_s1031" o:allowincell="t" o:allowoverlap="t" filled="f" stroked="t" strokecolor="#ff0000" strokeweight="3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/>
        </w:rPr>
        <w:drawing>
          <wp:inline distT="0" distB="0" distL="0" distR="0">
            <wp:extent cx="3971925" cy="1076960"/>
            <wp:effectExtent l="0" t="0" r="0" b="0"/>
            <wp:docPr id="1032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left"/>
        <w:rPr>
          <w:rFonts w:hint="default"/>
          <w:sz w:val="18"/>
        </w:rPr>
      </w:pP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sz w:val="22"/>
      </w:rPr>
    </w:pPr>
    <w:r>
      <w:rPr>
        <w:rFonts w:hint="eastAsia"/>
      </w:rPr>
      <w:t>別紙１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Meiryo UI" w:hAnsi="Meiryo UI" w:eastAsia="Meiryo UI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emf" /><Relationship Id="rId7" Type="http://schemas.openxmlformats.org/officeDocument/2006/relationships/image" Target="media/image2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254</TotalTime>
  <Pages>4</Pages>
  <Words>36</Words>
  <Characters>2728</Characters>
  <Application>JUST Note</Application>
  <Lines>140</Lines>
  <Paragraphs>88</Paragraphs>
  <Company>石岡市</Company>
  <CharactersWithSpaces>3116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磯部唯</cp:lastModifiedBy>
  <cp:lastPrinted>2023-06-12T10:51:00Z</cp:lastPrinted>
  <dcterms:created xsi:type="dcterms:W3CDTF">2023-05-22T00:56:00Z</dcterms:created>
  <dcterms:modified xsi:type="dcterms:W3CDTF">2025-07-25T00:44:37Z</dcterms:modified>
  <cp:revision>16</cp:revision>
</cp:coreProperties>
</file>